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Investment Case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Company: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Services detected: 8</w:t>
      </w:r>
    </w:p>
    <w:p>
      <w:pPr>
        <w:pBdr>
          <w:bottom w:val="single" w:sz="6" w:space="1" w:color="999999"/>
        </w:pBdr>
      </w:pPr>
    </w:p>
    <w:p>
      <w:r>
        <w:t xml:space="preserve">This document presents the business case for investing in a compliance program. It outlines the cost of non-compliance, quantifies regulatory exposure, and demonstrates the return on investment (ROI) of proactive compliance.</w:t>
      </w:r>
    </w:p>
    <w:p>
      <w:pPr>
        <w:ind w:left="720"/>
      </w:pPr>
      <w:r>
        <w:rPr>
          <w:i/>
          <w:color w:val="666666"/>
        </w:rPr>
        <w:t xml:space="preserve">**Disclaimer:** This is not legal or financial advice. The figures below are industry estimates and public enforcement data. Consult qualified legal and financial counsel to assess your specific risk exposure.</w:t>
      </w:r>
    </w:p>
    <w:p>
      <w:pPr>
        <w:pStyle w:val="Heading2"/>
      </w:pPr>
      <w:r>
        <w:t>1. Executive Summary</w:t>
      </w:r>
    </w:p>
    <w:p>
      <w:r>
        <w:t xml:space="preserve">Acme Inc operates a technology stack with 8 detected service(s) that fall under 3 regulatory framework(s). Non-compliance carries material financial, legal, and reputational risk.</w:t>
      </w:r>
    </w:p>
    <w:p>
      <w:r>
        <w:t xml:space="preserve">This business case demonstrates that a structured compliance program:</w:t>
      </w:r>
    </w:p>
    <w:p>
      <w:pPr>
        <w:pStyle w:val="ListParagraph"/>
        <w:numPr>
          <w:ilvl w:val="0"/>
          <w:numId w:val="1"/>
        </w:numPr>
      </w:pPr>
      <w:r>
        <w:t xml:space="preserve">**Reduces regulatory fine exposure** by 80-95%</w:t>
      </w:r>
    </w:p>
    <w:p>
      <w:pPr>
        <w:pStyle w:val="ListParagraph"/>
        <w:numPr>
          <w:ilvl w:val="0"/>
          <w:numId w:val="1"/>
        </w:numPr>
      </w:pPr>
      <w:r>
        <w:t xml:space="preserve">**Lowers breach-related costs** by an average of $1.76M (IBM 2024)</w:t>
      </w:r>
    </w:p>
    <w:p>
      <w:pPr>
        <w:pStyle w:val="ListParagraph"/>
        <w:numPr>
          <w:ilvl w:val="0"/>
          <w:numId w:val="1"/>
        </w:numPr>
      </w:pPr>
      <w:r>
        <w:t xml:space="preserve">**Accelerates enterprise sales cycles** by 40-60% through pre-built compliance documentation</w:t>
      </w:r>
    </w:p>
    <w:p>
      <w:pPr>
        <w:pStyle w:val="ListParagraph"/>
        <w:numPr>
          <w:ilvl w:val="0"/>
          <w:numId w:val="1"/>
        </w:numPr>
      </w:pPr>
      <w:r>
        <w:t xml:space="preserve">**Reduces legal review costs** by 50-70% through automated document generation</w:t>
      </w:r>
    </w:p>
    <w:p>
      <w:r>
        <w:t xml:space="preserve">The estimated annual cost of non-compliance is 2.71x the cost of compliance (Ponemon Institute).</w:t>
      </w:r>
    </w:p>
    <w:p>
      <w:pPr>
        <w:pStyle w:val="Heading2"/>
      </w:pPr>
      <w:r>
        <w:t>2. Cost of Non-Compliance</w:t>
      </w:r>
    </w:p>
    <w:p>
      <w:pPr>
        <w:pStyle w:val="Heading3"/>
      </w:pPr>
      <w:r>
        <w:t>Regulatory Fines</w:t>
      </w:r>
    </w:p>
    <w:p>
      <w:r>
        <w:rPr>
          <w:sz w:val="20"/>
        </w:rPr>
        <w:t xml:space="preserve">Regulation  |  Maximum Fine  |  Typical Fine Range  |  Applies to Acme Inc?</w:t>
      </w:r>
    </w:p>
    <w:p>
      <w:r>
        <w:rPr>
          <w:sz w:val="20"/>
        </w:rPr>
        <w:t xml:space="preserve">CCPA/CPRA  |  $2,500 per violation; $7,500 per intentional violation  |  $50K - $5M (AG actions)  |  Yes</w:t>
      </w:r>
    </w:p>
    <w:p>
      <w:r>
        <w:rPr>
          <w:sz w:val="20"/>
        </w:rPr>
        <w:t xml:space="preserve">EU AI Act  |  Up to EUR 35M or 7% of annual global turnover  |  EUR 100K - EUR 35M  |  Yes</w:t>
      </w:r>
    </w:p>
    <w:p>
      <w:r>
        <w:rPr>
          <w:sz w:val="20"/>
        </w:rPr>
        <w:t xml:space="preserve">PCI DSS  |  $5,000 - $100,000/month until compliant  |  $50K - $500K per incident  |  Yes</w:t>
      </w:r>
    </w:p>
    <w:p>
      <w:pPr>
        <w:pStyle w:val="Heading3"/>
      </w:pPr>
      <w:r>
        <w:t>Data Breach Costs (IBM Cost of a Data Breach Report 2024)</w:t>
      </w:r>
    </w:p>
    <w:p>
      <w:r>
        <w:rPr>
          <w:sz w:val="20"/>
        </w:rPr>
        <w:t xml:space="preserve">Cost Component  |  Average Cost</w:t>
      </w:r>
    </w:p>
    <w:p>
      <w:r>
        <w:rPr>
          <w:sz w:val="20"/>
        </w:rPr>
        <w:t xml:space="preserve">Average total cost of a data breach  |  $4.88M</w:t>
      </w:r>
    </w:p>
    <w:p>
      <w:r>
        <w:rPr>
          <w:sz w:val="20"/>
        </w:rPr>
        <w:t xml:space="preserve">Cost per compromised record  |  $169</w:t>
      </w:r>
    </w:p>
    <w:p>
      <w:r>
        <w:rPr>
          <w:sz w:val="20"/>
        </w:rPr>
        <w:t xml:space="preserve">Cost with compliance failures as factor  |  +$257,458</w:t>
      </w:r>
    </w:p>
    <w:p>
      <w:r>
        <w:rPr>
          <w:sz w:val="20"/>
        </w:rPr>
        <w:t xml:space="preserve">Average time to identify a breach  |  194 days</w:t>
      </w:r>
    </w:p>
    <w:p>
      <w:r>
        <w:rPr>
          <w:sz w:val="20"/>
        </w:rPr>
        <w:t xml:space="preserve">Average time to contain a breach  |  64 days</w:t>
      </w:r>
    </w:p>
    <w:p>
      <w:r>
        <w:rPr>
          <w:sz w:val="20"/>
        </w:rPr>
        <w:t xml:space="preserve">Cost reduction with incident response plan  |  -$473,706</w:t>
      </w:r>
    </w:p>
    <w:p>
      <w:r>
        <w:rPr>
          <w:sz w:val="20"/>
        </w:rPr>
        <w:t xml:space="preserve">Cost reduction with security AI/automation  |  -$1.76M</w:t>
      </w:r>
    </w:p>
    <w:p>
      <w:pPr>
        <w:pStyle w:val="Heading3"/>
      </w:pPr>
      <w:r>
        <w:t>Litigation Exposure</w:t>
      </w:r>
    </w:p>
    <w:p>
      <w:pPr>
        <w:pStyle w:val="ListParagraph"/>
        <w:numPr>
          <w:ilvl w:val="0"/>
          <w:numId w:val="1"/>
        </w:numPr>
      </w:pPr>
      <w:r>
        <w:t xml:space="preserve">**Class action settlements:** GDPR/CCPA class actions average $5M-$50M in settlements</w:t>
      </w:r>
    </w:p>
    <w:p>
      <w:pPr>
        <w:pStyle w:val="ListParagraph"/>
        <w:numPr>
          <w:ilvl w:val="0"/>
          <w:numId w:val="1"/>
        </w:numPr>
      </w:pPr>
      <w:r>
        <w:t xml:space="preserve">**Regulatory investigations:** Average legal cost of responding to a regulatory inquiry: $1.5M-$3M</w:t>
      </w:r>
    </w:p>
    <w:p>
      <w:pPr>
        <w:pStyle w:val="ListParagraph"/>
        <w:numPr>
          <w:ilvl w:val="0"/>
          <w:numId w:val="1"/>
        </w:numPr>
      </w:pPr>
      <w:r>
        <w:t xml:space="preserve">**Contract penalties:** Enterprise customers increasingly include compliance audit rights and penalty clauses in contracts</w:t>
      </w:r>
    </w:p>
    <w:p>
      <w:pPr>
        <w:pStyle w:val="ListParagraph"/>
        <w:numPr>
          <w:ilvl w:val="0"/>
          <w:numId w:val="1"/>
        </w:numPr>
      </w:pPr>
      <w:r>
        <w:t xml:space="preserve">**AI liability:** The EU AI Act introduces strict liability for high-risk AI systems; non-compliance may void insurance coverage</w:t>
      </w:r>
    </w:p>
    <w:p>
      <w:pPr>
        <w:pStyle w:val="Heading3"/>
      </w:pPr>
      <w:r>
        <w:t>Reputational Damage</w:t>
      </w:r>
    </w:p>
    <w:p>
      <w:r>
        <w:rPr>
          <w:sz w:val="20"/>
        </w:rPr>
        <w:t xml:space="preserve">Impact  |  Estimated Cost</w:t>
      </w:r>
    </w:p>
    <w:p>
      <w:r>
        <w:rPr>
          <w:sz w:val="20"/>
        </w:rPr>
        <w:t xml:space="preserve">Stock price decline after breach (public companies)  |  3-5% average decline</w:t>
      </w:r>
    </w:p>
    <w:p>
      <w:r>
        <w:rPr>
          <w:sz w:val="20"/>
        </w:rPr>
        <w:t xml:space="preserve">Customer churn following a breach  |  3.4% average increase</w:t>
      </w:r>
    </w:p>
    <w:p>
      <w:r>
        <w:rPr>
          <w:sz w:val="20"/>
        </w:rPr>
        <w:t xml:space="preserve">Brand recovery timeline  |  12-24 months</w:t>
      </w:r>
    </w:p>
    <w:p>
      <w:r>
        <w:rPr>
          <w:sz w:val="20"/>
        </w:rPr>
        <w:t xml:space="preserve">Lost business (largest component of breach cost)  |  $1.47M average</w:t>
      </w:r>
    </w:p>
    <w:p>
      <w:r>
        <w:rPr>
          <w:sz w:val="20"/>
        </w:rPr>
        <w:t xml:space="preserve">Executive turnover post-breach  |  23% of CISOs leave within 12 months</w:t>
      </w:r>
    </w:p>
    <w:p>
      <w:pPr>
        <w:pStyle w:val="Heading2"/>
      </w:pPr>
      <w:r>
        <w:t>3. Regulatory Exposure Assessment</w:t>
      </w:r>
    </w:p>
    <w:p>
      <w:r>
        <w:t xml:space="preserve">Based on the 8 service(s) detected in nextjs-saas-example, the following exposure areas have been identified:</w:t>
      </w:r>
    </w:p>
    <w:p>
      <w:pPr>
        <w:pStyle w:val="Heading3"/>
      </w:pPr>
      <w:r>
        <w:t>Analytics &amp; Advertising (posthog)</w:t>
      </w:r>
    </w:p>
    <w:p>
      <w:pPr>
        <w:pStyle w:val="ListParagraph"/>
        <w:numPr>
          <w:ilvl w:val="0"/>
          <w:numId w:val="1"/>
        </w:numPr>
      </w:pPr>
      <w:r>
        <w:t xml:space="preserve">Cookie consent violations: EUR 10K - EUR 150M (GDPR ePrivacy)</w:t>
      </w:r>
    </w:p>
    <w:p>
      <w:pPr>
        <w:pStyle w:val="ListParagraph"/>
        <w:numPr>
          <w:ilvl w:val="0"/>
          <w:numId w:val="1"/>
        </w:numPr>
      </w:pPr>
      <w:r>
        <w:t xml:space="preserve">Cross-border data transfer violations: EUR 50K - EUR 1.2B</w:t>
      </w:r>
    </w:p>
    <w:p>
      <w:pPr>
        <w:pStyle w:val="ListParagraph"/>
        <w:numPr>
          <w:ilvl w:val="0"/>
          <w:numId w:val="1"/>
        </w:numPr>
      </w:pPr>
      <w:r>
        <w:t xml:space="preserve">"Sale" of personal information without opt-out: $2,500 - $7,500 per consumer (CCPA)</w:t>
      </w:r>
    </w:p>
    <w:p>
      <w:pPr>
        <w:pStyle w:val="Heading3"/>
      </w:pPr>
      <w:r>
        <w:t>Authentication &amp; User Data (@supabase/supabase-js)</w:t>
      </w:r>
    </w:p>
    <w:p>
      <w:pPr>
        <w:pStyle w:val="ListParagraph"/>
        <w:numPr>
          <w:ilvl w:val="0"/>
          <w:numId w:val="1"/>
        </w:numPr>
      </w:pPr>
      <w:r>
        <w:t xml:space="preserve">Inadequate data subject access request handling: EUR 20K - EUR 500K</w:t>
      </w:r>
    </w:p>
    <w:p>
      <w:pPr>
        <w:pStyle w:val="ListParagraph"/>
        <w:numPr>
          <w:ilvl w:val="0"/>
          <w:numId w:val="1"/>
        </w:numPr>
      </w:pPr>
      <w:r>
        <w:t xml:space="preserve">Insufficient security measures for personal data: EUR 50K - EUR 10M</w:t>
      </w:r>
    </w:p>
    <w:p>
      <w:pPr>
        <w:pStyle w:val="ListParagraph"/>
        <w:numPr>
          <w:ilvl w:val="0"/>
          <w:numId w:val="1"/>
        </w:numPr>
      </w:pPr>
      <w:r>
        <w:t xml:space="preserve">Data retention beyond necessary period: EUR 10K - EUR 100K</w:t>
      </w:r>
    </w:p>
    <w:p>
      <w:pPr>
        <w:pStyle w:val="Heading3"/>
      </w:pPr>
      <w:r>
        <w:t>Payment Processing (stripe, stripe-ios)</w:t>
      </w:r>
    </w:p>
    <w:p>
      <w:pPr>
        <w:pStyle w:val="ListParagraph"/>
        <w:numPr>
          <w:ilvl w:val="0"/>
          <w:numId w:val="1"/>
        </w:numPr>
      </w:pPr>
      <w:r>
        <w:t xml:space="preserve">PCI DSS non-compliance: $5,000 - $100,000/month in penalties</w:t>
      </w:r>
    </w:p>
    <w:p>
      <w:pPr>
        <w:pStyle w:val="ListParagraph"/>
        <w:numPr>
          <w:ilvl w:val="0"/>
          <w:numId w:val="1"/>
        </w:numPr>
      </w:pPr>
      <w:r>
        <w:t xml:space="preserve">Card brand fines: $50,000 - $500,000 per data compromise</w:t>
      </w:r>
    </w:p>
    <w:p>
      <w:pPr>
        <w:pStyle w:val="ListParagraph"/>
        <w:numPr>
          <w:ilvl w:val="0"/>
          <w:numId w:val="1"/>
        </w:numPr>
      </w:pPr>
      <w:r>
        <w:t xml:space="preserve">Loss of payment processing privileges</w:t>
      </w:r>
    </w:p>
    <w:p>
      <w:pPr>
        <w:pStyle w:val="Heading3"/>
      </w:pPr>
      <w:r>
        <w:t>AI Services (openai)</w:t>
      </w:r>
    </w:p>
    <w:p>
      <w:pPr>
        <w:pStyle w:val="ListParagraph"/>
        <w:numPr>
          <w:ilvl w:val="0"/>
          <w:numId w:val="1"/>
        </w:numPr>
      </w:pPr>
      <w:r>
        <w:t xml:space="preserve">EU AI Act non-compliance: up to EUR 35M or 7% annual turnover</w:t>
      </w:r>
    </w:p>
    <w:p>
      <w:pPr>
        <w:pStyle w:val="ListParagraph"/>
        <w:numPr>
          <w:ilvl w:val="0"/>
          <w:numId w:val="1"/>
        </w:numPr>
      </w:pPr>
      <w:r>
        <w:t xml:space="preserve">Missing AI transparency obligations: EUR 100K - EUR 15M</w:t>
      </w:r>
    </w:p>
    <w:p>
      <w:pPr>
        <w:pStyle w:val="ListParagraph"/>
        <w:numPr>
          <w:ilvl w:val="0"/>
          <w:numId w:val="1"/>
        </w:numPr>
      </w:pPr>
      <w:r>
        <w:t xml:space="preserve">Failure to conduct AI impact assessment: EUR 50K - EUR 10M</w:t>
      </w:r>
    </w:p>
    <w:p>
      <w:pPr>
        <w:pStyle w:val="ListParagraph"/>
        <w:numPr>
          <w:ilvl w:val="0"/>
          <w:numId w:val="1"/>
        </w:numPr>
      </w:pPr>
      <w:r>
        <w:t xml:space="preserve">Colorado AI Act violations: private right of action</w:t>
      </w:r>
    </w:p>
    <w:p>
      <w:pPr>
        <w:pStyle w:val="Heading3"/>
      </w:pPr>
      <w:r>
        <w:t>Email Services (resend)</w:t>
      </w:r>
    </w:p>
    <w:p>
      <w:pPr>
        <w:pStyle w:val="ListParagraph"/>
        <w:numPr>
          <w:ilvl w:val="0"/>
          <w:numId w:val="1"/>
        </w:numPr>
      </w:pPr>
      <w:r>
        <w:t xml:space="preserve">CAN-SPAM violations: up to $50,120 per email</w:t>
      </w:r>
    </w:p>
    <w:p>
      <w:pPr>
        <w:pStyle w:val="ListParagraph"/>
        <w:numPr>
          <w:ilvl w:val="0"/>
          <w:numId w:val="1"/>
        </w:numPr>
      </w:pPr>
      <w:r>
        <w:t xml:space="preserve">GDPR consent violations for marketing: EUR 10K - EUR 500K</w:t>
      </w:r>
    </w:p>
    <w:p>
      <w:pPr>
        <w:pStyle w:val="ListParagraph"/>
        <w:numPr>
          <w:ilvl w:val="0"/>
          <w:numId w:val="1"/>
        </w:numPr>
      </w:pPr>
      <w:r>
        <w:t xml:space="preserve">CASL (Canada) violations: up to $10M per violation</w:t>
      </w:r>
    </w:p>
    <w:p>
      <w:pPr>
        <w:pStyle w:val="Heading3"/>
      </w:pPr>
      <w:r>
        <w:t>Storage &amp; Database (prisma)</w:t>
      </w:r>
    </w:p>
    <w:p>
      <w:pPr>
        <w:pStyle w:val="ListParagraph"/>
        <w:numPr>
          <w:ilvl w:val="0"/>
          <w:numId w:val="1"/>
        </w:numPr>
      </w:pPr>
      <w:r>
        <w:t xml:space="preserve">Inadequate encryption at rest: regulatory fines + breach liability</w:t>
      </w:r>
    </w:p>
    <w:p>
      <w:pPr>
        <w:pStyle w:val="ListParagraph"/>
        <w:numPr>
          <w:ilvl w:val="0"/>
          <w:numId w:val="1"/>
        </w:numPr>
      </w:pPr>
      <w:r>
        <w:t xml:space="preserve">Missing data processing agreements: EUR 10K - EUR 500K (GDPR)</w:t>
      </w:r>
    </w:p>
    <w:p>
      <w:pPr>
        <w:pStyle w:val="ListParagraph"/>
        <w:numPr>
          <w:ilvl w:val="0"/>
          <w:numId w:val="1"/>
        </w:numPr>
      </w:pPr>
      <w:r>
        <w:t xml:space="preserve">Data residency violations: EUR 50K - EUR 1M per jurisdiction</w:t>
      </w:r>
    </w:p>
    <w:p>
      <w:pPr>
        <w:pStyle w:val="Heading2"/>
      </w:pPr>
      <w:r>
        <w:t>4. Return on Investment (ROI)</w:t>
      </w:r>
    </w:p>
    <w:p>
      <w:pPr>
        <w:pStyle w:val="Heading3"/>
      </w:pPr>
      <w:r>
        <w:t>Compliance Program Cost Estimate</w:t>
      </w:r>
    </w:p>
    <w:p>
      <w:r>
        <w:t xml:space="preserve">Based on 8 detected services (medium complexity):</w:t>
      </w:r>
    </w:p>
    <w:p>
      <w:r>
        <w:rPr>
          <w:sz w:val="20"/>
        </w:rPr>
        <w:t xml:space="preserve">Investment Area  |  Estimated Annual Cost</w:t>
      </w:r>
    </w:p>
    <w:p>
      <w:r>
        <w:rPr>
          <w:sz w:val="20"/>
        </w:rPr>
        <w:t xml:space="preserve">Compliance tooling (e.g., Codepliant Pro)  |  $500 - $5,000</w:t>
      </w:r>
    </w:p>
    <w:p>
      <w:r>
        <w:rPr>
          <w:sz w:val="20"/>
        </w:rPr>
        <w:t xml:space="preserve">Legal review of generated documents  |  $2,000 - $15,000</w:t>
      </w:r>
    </w:p>
    <w:p>
      <w:r>
        <w:rPr>
          <w:sz w:val="20"/>
        </w:rPr>
        <w:t xml:space="preserve">Staff training (annual)  |  $1,000 - $10,000</w:t>
      </w:r>
    </w:p>
    <w:p>
      <w:r>
        <w:rPr>
          <w:sz w:val="20"/>
        </w:rPr>
        <w:t xml:space="preserve">Incident response readiness  |  $1,000 - $20,000</w:t>
      </w:r>
    </w:p>
    <w:p>
      <w:r>
        <w:rPr>
          <w:sz w:val="20"/>
        </w:rPr>
        <w:t xml:space="preserve">Annual compliance audit  |  $2,000 - $50,000</w:t>
      </w:r>
    </w:p>
    <w:p>
      <w:r>
        <w:rPr>
          <w:sz w:val="20"/>
        </w:rPr>
        <w:t xml:space="preserve">**Total estimated investment**  |  **$25,000 - $100,000**</w:t>
      </w:r>
    </w:p>
    <w:p>
      <w:pPr>
        <w:pStyle w:val="Heading3"/>
      </w:pPr>
      <w:r>
        <w:t>Fine Avoidance Value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Estimated fine exposure without compliance  |  $500,000 - $5,000,000</w:t>
      </w:r>
    </w:p>
    <w:p>
      <w:r>
        <w:rPr>
          <w:sz w:val="20"/>
        </w:rPr>
        <w:t xml:space="preserve">Estimated fine reduction with compliance program  |  80 - 95%</w:t>
      </w:r>
    </w:p>
    <w:p>
      <w:r>
        <w:rPr>
          <w:sz w:val="20"/>
        </w:rPr>
        <w:t xml:space="preserve">Net fine avoidance value  |  **$500,000 - $5,000,000**</w:t>
      </w:r>
    </w:p>
    <w:p>
      <w:pPr>
        <w:pStyle w:val="Heading3"/>
      </w:pPr>
      <w:r>
        <w:t>Additional Business Value</w:t>
      </w:r>
    </w:p>
    <w:p>
      <w:r>
        <w:rPr>
          <w:sz w:val="20"/>
        </w:rPr>
        <w:t xml:space="preserve">Benefit  |  Estimated Impact</w:t>
      </w:r>
    </w:p>
    <w:p>
      <w:r>
        <w:rPr>
          <w:sz w:val="20"/>
        </w:rPr>
        <w:t xml:space="preserve">Faster enterprise sales (compliance docs ready)  |  40 - 60% faster close</w:t>
      </w:r>
    </w:p>
    <w:p>
      <w:r>
        <w:rPr>
          <w:sz w:val="20"/>
        </w:rPr>
        <w:t xml:space="preserve">Reduced legal review time  |  50 - 70% reduction</w:t>
      </w:r>
    </w:p>
    <w:p>
      <w:r>
        <w:rPr>
          <w:sz w:val="20"/>
        </w:rPr>
        <w:t xml:space="preserve">Lower cyber insurance premiums  |  10 - 30% reduction</w:t>
      </w:r>
    </w:p>
    <w:p>
      <w:r>
        <w:rPr>
          <w:sz w:val="20"/>
        </w:rPr>
        <w:t xml:space="preserve">Competitive differentiation (compliance badge)  |  Priceless</w:t>
      </w:r>
    </w:p>
    <w:p>
      <w:r>
        <w:rPr>
          <w:sz w:val="20"/>
        </w:rPr>
        <w:t xml:space="preserve">Reduced breach likelihood  |  50 - 60% reduction</w:t>
      </w:r>
    </w:p>
    <w:p>
      <w:r>
        <w:rPr>
          <w:sz w:val="20"/>
        </w:rPr>
        <w:t xml:space="preserve">Faster breach containment (incident response plan)  |  54 days faster (IBM 2024)</w:t>
      </w:r>
    </w:p>
    <w:p>
      <w:pPr>
        <w:pStyle w:val="Heading3"/>
      </w:pPr>
      <w:r>
        <w:t>ROI Calculation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Conservative ROI = (Fine Avoidance Value - Program Cost) / Program Cost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Example: ($500,000 - $60,000) / $60,000 = 733% ROI</w:t>
      </w:r>
    </w:p>
    <w:p>
      <w:pPr>
        <w:ind w:left="720"/>
      </w:pPr>
      <w:r>
        <w:rPr>
          <w:i/>
          <w:color w:val="666666"/>
        </w:rPr>
        <w:t xml:space="preserve">**Note:** This calculation only includes direct fine avoidance. When factoring in breach cost reduction, insurance savings, and sales acceleration, the actual ROI is significantly higher.</w:t>
      </w:r>
    </w:p>
    <w:p>
      <w:pPr>
        <w:pStyle w:val="Heading2"/>
      </w:pPr>
      <w:r>
        <w:t>5. Implementation Roadmap</w:t>
      </w:r>
    </w:p>
    <w:p>
      <w:pPr>
        <w:pStyle w:val="Heading3"/>
      </w:pPr>
      <w:r>
        <w:t>Phase 1: Foundation (Week 1-2)</w:t>
      </w:r>
    </w:p>
    <w:p>
      <w:pPr>
        <w:pStyle w:val="ListParagraph"/>
        <w:numPr>
          <w:ilvl w:val="0"/>
          <w:numId w:val="1"/>
        </w:numPr>
      </w:pPr>
      <w:r>
        <w:t xml:space="preserve">[ ] Run Codepliant scan to inventory all services and data flows</w:t>
      </w:r>
    </w:p>
    <w:p>
      <w:pPr>
        <w:pStyle w:val="ListParagraph"/>
        <w:numPr>
          <w:ilvl w:val="0"/>
          <w:numId w:val="1"/>
        </w:numPr>
      </w:pPr>
      <w:r>
        <w:t xml:space="preserve">[ ] Generate baseline compliance documents</w:t>
      </w:r>
    </w:p>
    <w:p>
      <w:pPr>
        <w:pStyle w:val="ListParagraph"/>
        <w:numPr>
          <w:ilvl w:val="0"/>
          <w:numId w:val="1"/>
        </w:numPr>
      </w:pPr>
      <w:r>
        <w:t xml:space="preserve">[ ] Identify top 3 regulatory priorities based on scan results</w:t>
      </w:r>
    </w:p>
    <w:p>
      <w:pPr>
        <w:pStyle w:val="ListParagraph"/>
        <w:numPr>
          <w:ilvl w:val="0"/>
          <w:numId w:val="1"/>
        </w:numPr>
      </w:pPr>
      <w:r>
        <w:t xml:space="preserve">[ ] Engage legal counsel to review generated documents</w:t>
      </w:r>
    </w:p>
    <w:p>
      <w:pPr>
        <w:pStyle w:val="Heading3"/>
      </w:pPr>
      <w:r>
        <w:t>Phase 2: Quick Wins (Week 3-4)</w:t>
      </w:r>
    </w:p>
    <w:p>
      <w:pPr>
        <w:pStyle w:val="ListParagraph"/>
        <w:numPr>
          <w:ilvl w:val="0"/>
          <w:numId w:val="1"/>
        </w:numPr>
      </w:pPr>
      <w:r>
        <w:t xml:space="preserve">[ ] Publish Privacy Policy and Terms of Service</w:t>
      </w:r>
    </w:p>
    <w:p>
      <w:pPr>
        <w:pStyle w:val="ListParagraph"/>
        <w:numPr>
          <w:ilvl w:val="0"/>
          <w:numId w:val="1"/>
        </w:numPr>
      </w:pPr>
      <w:r>
        <w:t xml:space="preserve">[ ] Implement cookie consent mechanism</w:t>
      </w:r>
    </w:p>
    <w:p>
      <w:pPr>
        <w:pStyle w:val="ListParagraph"/>
        <w:numPr>
          <w:ilvl w:val="0"/>
          <w:numId w:val="1"/>
        </w:numPr>
      </w:pPr>
      <w:r>
        <w:t xml:space="preserve">[ ] Draft and publish AI Disclosure document</w:t>
      </w:r>
    </w:p>
    <w:p>
      <w:pPr>
        <w:pStyle w:val="ListParagraph"/>
        <w:numPr>
          <w:ilvl w:val="0"/>
          <w:numId w:val="1"/>
        </w:numPr>
      </w:pPr>
      <w:r>
        <w:t xml:space="preserve">[ ] Complete PCI DSS Self-Assessment Questionnaire</w:t>
      </w:r>
    </w:p>
    <w:p>
      <w:pPr>
        <w:pStyle w:val="ListParagraph"/>
        <w:numPr>
          <w:ilvl w:val="0"/>
          <w:numId w:val="1"/>
        </w:numPr>
      </w:pPr>
      <w:r>
        <w:t xml:space="preserve">[ ] Set up incident response plan and communication tree</w:t>
      </w:r>
    </w:p>
    <w:p>
      <w:pPr>
        <w:pStyle w:val="Heading3"/>
      </w:pPr>
      <w:r>
        <w:t>Phase 3: Operational (Month 2-3)</w:t>
      </w:r>
    </w:p>
    <w:p>
      <w:pPr>
        <w:pStyle w:val="ListParagraph"/>
        <w:numPr>
          <w:ilvl w:val="0"/>
          <w:numId w:val="1"/>
        </w:numPr>
      </w:pPr>
      <w:r>
        <w:t xml:space="preserve">[ ] Train staff on data protection procedures</w:t>
      </w:r>
    </w:p>
    <w:p>
      <w:pPr>
        <w:pStyle w:val="ListParagraph"/>
        <w:numPr>
          <w:ilvl w:val="0"/>
          <w:numId w:val="1"/>
        </w:numPr>
      </w:pPr>
      <w:r>
        <w:t xml:space="preserve">[ ] Implement data subject request (DSAR) handling workflow</w:t>
      </w:r>
    </w:p>
    <w:p>
      <w:pPr>
        <w:pStyle w:val="ListParagraph"/>
        <w:numPr>
          <w:ilvl w:val="0"/>
          <w:numId w:val="1"/>
        </w:numPr>
      </w:pPr>
      <w:r>
        <w:t xml:space="preserve">[ ] Review and sign data processing agreements with all vendors</w:t>
      </w:r>
    </w:p>
    <w:p>
      <w:pPr>
        <w:pStyle w:val="ListParagraph"/>
        <w:numPr>
          <w:ilvl w:val="0"/>
          <w:numId w:val="1"/>
        </w:numPr>
      </w:pPr>
      <w:r>
        <w:t xml:space="preserve">[ ] Set up compliance monitoring (scheduled Codepliant scans)</w:t>
      </w:r>
    </w:p>
    <w:p>
      <w:pPr>
        <w:pStyle w:val="Heading3"/>
      </w:pPr>
      <w:r>
        <w:t>Phase 4: Maturity (Month 4-6)</w:t>
      </w:r>
    </w:p>
    <w:p>
      <w:pPr>
        <w:pStyle w:val="ListParagraph"/>
        <w:numPr>
          <w:ilvl w:val="0"/>
          <w:numId w:val="1"/>
        </w:numPr>
      </w:pPr>
      <w:r>
        <w:t xml:space="preserve">[ ] Conduct internal compliance audit</w:t>
      </w:r>
    </w:p>
    <w:p>
      <w:pPr>
        <w:pStyle w:val="ListParagraph"/>
        <w:numPr>
          <w:ilvl w:val="0"/>
          <w:numId w:val="1"/>
        </w:numPr>
      </w:pPr>
      <w:r>
        <w:t xml:space="preserve">[ ] Implement continuous compliance monitoring</w:t>
      </w:r>
    </w:p>
    <w:p>
      <w:pPr>
        <w:pStyle w:val="ListParagraph"/>
        <w:numPr>
          <w:ilvl w:val="0"/>
          <w:numId w:val="1"/>
        </w:numPr>
      </w:pPr>
      <w:r>
        <w:t xml:space="preserve">[ ] Prepare for external audit or certification</w:t>
      </w:r>
    </w:p>
    <w:p>
      <w:pPr>
        <w:pStyle w:val="ListParagraph"/>
        <w:numPr>
          <w:ilvl w:val="0"/>
          <w:numId w:val="1"/>
        </w:numPr>
      </w:pPr>
      <w:r>
        <w:t xml:space="preserve">[ ] Document lessons learned and update compliance program</w:t>
      </w:r>
    </w:p>
    <w:p>
      <w:pPr>
        <w:pStyle w:val="Heading2"/>
      </w:pPr>
      <w:r>
        <w:t>6. Stakeholder Talking Points</w:t>
      </w:r>
    </w:p>
    <w:p>
      <w:pPr>
        <w:pStyle w:val="Heading3"/>
      </w:pPr>
      <w:r>
        <w:t>For the Board / C-Suite</w:t>
      </w:r>
    </w:p>
    <w:p>
      <w:pPr>
        <w:pStyle w:val="ListParagraph"/>
        <w:numPr>
          <w:ilvl w:val="0"/>
          <w:numId w:val="2"/>
        </w:numPr>
      </w:pPr>
      <w:r>
        <w:t xml:space="preserve">**Risk reduction:** Non-compliance exposes us to regulatory fines that could reach 7% of global annual turnover (EU AI Act).</w:t>
      </w:r>
    </w:p>
    <w:p>
      <w:pPr>
        <w:pStyle w:val="ListParagraph"/>
        <w:numPr>
          <w:ilvl w:val="0"/>
          <w:numId w:val="2"/>
        </w:numPr>
      </w:pPr>
      <w:r>
        <w:t xml:space="preserve">**Competitive advantage:** B2B customers increasingly require compliance documentation before signing contracts.</w:t>
      </w:r>
    </w:p>
    <w:p>
      <w:pPr>
        <w:pStyle w:val="ListParagraph"/>
        <w:numPr>
          <w:ilvl w:val="0"/>
          <w:numId w:val="2"/>
        </w:numPr>
      </w:pPr>
      <w:r>
        <w:t xml:space="preserve">**Insurance:** Demonstrable compliance programs reduce cyber insurance premiums by 10-30%.</w:t>
      </w:r>
    </w:p>
    <w:p>
      <w:pPr>
        <w:pStyle w:val="ListParagraph"/>
        <w:numPr>
          <w:ilvl w:val="0"/>
          <w:numId w:val="2"/>
        </w:numPr>
      </w:pPr>
      <w:r>
        <w:t xml:space="preserve">**Market access:** Many jurisdictions (EU, California, Colorado, Virginia) require compliance as a condition of operating.</w:t>
      </w:r>
    </w:p>
    <w:p>
      <w:pPr>
        <w:pStyle w:val="Heading3"/>
      </w:pPr>
      <w:r>
        <w:t>For Engineering</w:t>
      </w:r>
    </w:p>
    <w:p>
      <w:pPr>
        <w:pStyle w:val="ListParagraph"/>
        <w:numPr>
          <w:ilvl w:val="0"/>
          <w:numId w:val="2"/>
        </w:numPr>
      </w:pPr>
      <w:r>
        <w:t xml:space="preserve">**Automated:** Codepliant generates 40+ compliance documents directly from code analysis — no manual data mapping required.</w:t>
      </w:r>
    </w:p>
    <w:p>
      <w:pPr>
        <w:pStyle w:val="ListParagraph"/>
        <w:numPr>
          <w:ilvl w:val="0"/>
          <w:numId w:val="2"/>
        </w:numPr>
      </w:pPr>
      <w:r>
        <w:t xml:space="preserve">**CI/CD integration:** Compliance checks run alongside tests; no separate workflow.</w:t>
      </w:r>
    </w:p>
    <w:p>
      <w:pPr>
        <w:pStyle w:val="ListParagraph"/>
        <w:numPr>
          <w:ilvl w:val="0"/>
          <w:numId w:val="2"/>
        </w:numPr>
      </w:pPr>
      <w:r>
        <w:t xml:space="preserve">**Developer-friendly:** All documents are Markdown; review them like code in PRs.</w:t>
      </w:r>
    </w:p>
    <w:p>
      <w:pPr>
        <w:pStyle w:val="ListParagraph"/>
        <w:numPr>
          <w:ilvl w:val="0"/>
          <w:numId w:val="2"/>
        </w:numPr>
      </w:pPr>
      <w:r>
        <w:t xml:space="preserve">**Zero runtime impact:** Scans run offline, no data leaves your machine.</w:t>
      </w:r>
    </w:p>
    <w:p>
      <w:pPr>
        <w:pStyle w:val="Heading3"/>
      </w:pPr>
      <w:r>
        <w:t>For Legal</w:t>
      </w:r>
    </w:p>
    <w:p>
      <w:pPr>
        <w:pStyle w:val="ListParagraph"/>
        <w:numPr>
          <w:ilvl w:val="0"/>
          <w:numId w:val="2"/>
        </w:numPr>
      </w:pPr>
      <w:r>
        <w:t xml:space="preserve">**Comprehensive coverage:** Documents cover CCPA/CPRA, EU AI Act, PCI DSS.</w:t>
      </w:r>
    </w:p>
    <w:p>
      <w:pPr>
        <w:pStyle w:val="ListParagraph"/>
        <w:numPr>
          <w:ilvl w:val="0"/>
          <w:numId w:val="2"/>
        </w:numPr>
      </w:pPr>
      <w:r>
        <w:t xml:space="preserve">**Always current:** Documents regenerate when the codebase changes, ensuring accuracy.</w:t>
      </w:r>
    </w:p>
    <w:p>
      <w:pPr>
        <w:pStyle w:val="ListParagraph"/>
        <w:numPr>
          <w:ilvl w:val="0"/>
          <w:numId w:val="2"/>
        </w:numPr>
      </w:pPr>
      <w:r>
        <w:t xml:space="preserve">**Customizable:** Legal can override any section via config or templates.</w:t>
      </w:r>
    </w:p>
    <w:p>
      <w:pPr>
        <w:pStyle w:val="ListParagraph"/>
        <w:numPr>
          <w:ilvl w:val="0"/>
          <w:numId w:val="2"/>
        </w:numPr>
      </w:pPr>
      <w:r>
        <w:t xml:space="preserve">**Audit trail:** Every document includes generation date and scan metadata.</w:t>
      </w:r>
    </w:p>
    <w:p>
      <w:pPr>
        <w:pStyle w:val="Heading2"/>
      </w:pPr>
      <w:r>
        <w:t>7. Industry Benchmarks</w:t>
      </w:r>
    </w:p>
    <w:p>
      <w:r>
        <w:rPr>
          <w:sz w:val="20"/>
        </w:rPr>
        <w:t xml:space="preserve">Metric  |  Source  |  Value</w:t>
      </w:r>
    </w:p>
    <w:p>
      <w:r>
        <w:rPr>
          <w:sz w:val="20"/>
        </w:rPr>
        <w:t xml:space="preserve">Average cost of a data breach  |  IBM 2024  |  $4.88M</w:t>
      </w:r>
    </w:p>
    <w:p>
      <w:r>
        <w:rPr>
          <w:sz w:val="20"/>
        </w:rPr>
        <w:t xml:space="preserve">Cost of non-compliance vs compliance  |  Ponemon  |  2.71x more expensive</w:t>
      </w:r>
    </w:p>
    <w:p>
      <w:r>
        <w:rPr>
          <w:sz w:val="20"/>
        </w:rPr>
        <w:t xml:space="preserve">Average GDPR fine (2024)  |  GDPR Enforcement Tracker  |  EUR 1.8M</w:t>
      </w:r>
    </w:p>
    <w:p>
      <w:r>
        <w:rPr>
          <w:sz w:val="20"/>
        </w:rPr>
        <w:t xml:space="preserve">Largest GDPR fine to date  |  Meta (2023)  |  EUR 1.2B</w:t>
      </w:r>
    </w:p>
    <w:p>
      <w:r>
        <w:rPr>
          <w:sz w:val="20"/>
        </w:rPr>
        <w:t xml:space="preserve">CCPA enforcement actions (2023-2024)  |  CA AG Office  |  40+ actions</w:t>
      </w:r>
    </w:p>
    <w:p>
      <w:r>
        <w:rPr>
          <w:sz w:val="20"/>
        </w:rPr>
        <w:t xml:space="preserve">Average time to achieve compliance  |  Industry average  |  6-12 months</w:t>
      </w:r>
    </w:p>
    <w:p>
      <w:r>
        <w:rPr>
          <w:sz w:val="20"/>
        </w:rPr>
        <w:t xml:space="preserve">Companies with compliance program  |  Fortune 500  |  98%</w:t>
      </w:r>
    </w:p>
    <w:p>
      <w:r>
        <w:rPr>
          <w:sz w:val="20"/>
        </w:rPr>
        <w:t xml:space="preserve">Startups losing deals due to missing compliance  |  Vanta 2024 Survey  |  67%</w:t>
      </w:r>
    </w:p>
    <w:p>
      <w:pPr>
        <w:pBdr>
          <w:bottom w:val="single" w:sz="6" w:space="1" w:color="999999"/>
        </w:pBdr>
      </w:pPr>
    </w:p>
    <w:p>
      <w:r>
        <w:t xml:space="preserve">This compliance investment case was generated by [Codepliant](https://github.com/joechensmartz/codepliant) based on automated code analysis of 8 detected service(s). Figures are industry estimates and should be validated with qualified legal and financial counsel.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